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5197"/>
        <w:gridCol w:w="1856"/>
        <w:gridCol w:w="3099"/>
        <w:gridCol w:w="243"/>
      </w:tblGrid>
      <w:tr w:rsidR="001B5139" w:rsidRPr="001B5139" w14:paraId="4DF2C991" w14:textId="77777777" w:rsidTr="00B97739">
        <w:trPr>
          <w:gridAfter w:val="1"/>
          <w:wAfter w:w="243" w:type="dxa"/>
          <w:trHeight w:val="996"/>
          <w:jc w:val="center"/>
        </w:trPr>
        <w:tc>
          <w:tcPr>
            <w:tcW w:w="7053" w:type="dxa"/>
            <w:gridSpan w:val="2"/>
            <w:hideMark/>
          </w:tcPr>
          <w:p w14:paraId="2CE32B75" w14:textId="5EFEB789" w:rsidR="001B5139" w:rsidRPr="00D4242A" w:rsidRDefault="001B5139" w:rsidP="001B5139">
            <w:pPr>
              <w:rPr>
                <w:rFonts w:ascii="Aptos Narrow" w:hAnsi="Aptos Narrow" w:cs="Arial"/>
                <w:b/>
                <w:color w:val="323ABF" w:themeColor="text1"/>
                <w:sz w:val="32"/>
                <w:szCs w:val="32"/>
              </w:rPr>
            </w:pPr>
            <w:r w:rsidRPr="00D4242A">
              <w:rPr>
                <w:rFonts w:ascii="Aptos Narrow" w:hAnsi="Aptos Narrow" w:cs="Arial"/>
                <w:b/>
                <w:color w:val="323ABF" w:themeColor="text1"/>
                <w:sz w:val="32"/>
                <w:szCs w:val="32"/>
              </w:rPr>
              <w:t>JOB DESCRIPTION AND PERSON SPECIFICATIO</w:t>
            </w:r>
            <w:r w:rsidR="00AE2AD3" w:rsidRPr="00D4242A">
              <w:rPr>
                <w:rFonts w:ascii="Aptos Narrow" w:hAnsi="Aptos Narrow" w:cs="Arial"/>
                <w:b/>
                <w:color w:val="323ABF" w:themeColor="text1"/>
                <w:sz w:val="32"/>
                <w:szCs w:val="32"/>
              </w:rPr>
              <w:t>N</w:t>
            </w:r>
          </w:p>
          <w:p w14:paraId="1E0D3347" w14:textId="1EEC2295" w:rsidR="001B5139" w:rsidRPr="00D4242A" w:rsidRDefault="00D4242A" w:rsidP="001B5139">
            <w:pPr>
              <w:rPr>
                <w:rFonts w:ascii="Aptos Narrow" w:hAnsi="Aptos Narrow" w:cs="Arial"/>
                <w:b/>
                <w:color w:val="101741" w:themeColor="text2"/>
                <w:u w:val="single"/>
              </w:rPr>
            </w:pPr>
            <w:r w:rsidRPr="00D4242A">
              <w:rPr>
                <w:rFonts w:ascii="Aptos Narrow" w:hAnsi="Aptos Narrow" w:cs="Arial"/>
                <w:b/>
                <w:color w:val="101741" w:themeColor="text2"/>
              </w:rPr>
              <w:t>Youth Mentor (</w:t>
            </w:r>
            <w:r w:rsidR="001B5139" w:rsidRPr="00D4242A">
              <w:rPr>
                <w:rFonts w:ascii="Aptos Narrow" w:hAnsi="Aptos Narrow" w:cs="Arial"/>
                <w:b/>
                <w:color w:val="101741" w:themeColor="text2"/>
              </w:rPr>
              <w:t>#NextGen Fundraisers</w:t>
            </w:r>
            <w:r w:rsidRPr="00D4242A">
              <w:rPr>
                <w:rFonts w:ascii="Aptos Narrow" w:hAnsi="Aptos Narrow" w:cs="Arial"/>
                <w:b/>
                <w:color w:val="101741" w:themeColor="text2"/>
              </w:rPr>
              <w:t>)</w:t>
            </w:r>
          </w:p>
        </w:tc>
        <w:tc>
          <w:tcPr>
            <w:tcW w:w="3099" w:type="dxa"/>
          </w:tcPr>
          <w:p w14:paraId="7B74E143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38FA02B9" w14:textId="77777777" w:rsidTr="00B97739">
        <w:trPr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762DF" w14:textId="29D221E3" w:rsidR="001B5139" w:rsidRDefault="00FC3E66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 xml:space="preserve">Reporting to: </w:t>
            </w:r>
            <w:r w:rsidRPr="00234279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 xml:space="preserve">London Place </w:t>
            </w:r>
            <w:r w:rsidR="00234279" w:rsidRPr="00234279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>Partnership Manager</w:t>
            </w:r>
            <w:r w:rsidR="00234279"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 xml:space="preserve"> </w:t>
            </w:r>
          </w:p>
          <w:p w14:paraId="77DE9E7F" w14:textId="77777777" w:rsidR="00FC3E66" w:rsidRDefault="00FC3E66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  <w:p w14:paraId="762B8DD3" w14:textId="6AEF98F9" w:rsidR="00FC3E66" w:rsidRPr="001B5139" w:rsidRDefault="00FC3E66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  <w:tc>
          <w:tcPr>
            <w:tcW w:w="5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7B8D2" w14:textId="77777777" w:rsid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 xml:space="preserve">Location: </w:t>
            </w:r>
            <w:r w:rsidRPr="00234279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 xml:space="preserve"> London</w:t>
            </w:r>
          </w:p>
          <w:p w14:paraId="7FECC2CC" w14:textId="4F098B12" w:rsidR="00FB71F8" w:rsidRPr="001B5139" w:rsidRDefault="00FB71F8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7ABC4919" w14:textId="77777777" w:rsidTr="00B97739">
        <w:trPr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73B5C" w14:textId="39272A00" w:rsidR="001B5139" w:rsidRPr="001B5139" w:rsidRDefault="001B5139" w:rsidP="00AE2AD3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 xml:space="preserve">Job Title:  </w:t>
            </w:r>
            <w:r w:rsidR="00CF15AD" w:rsidRPr="00CF15AD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>Youth Mentor (</w:t>
            </w:r>
            <w:r w:rsidRPr="00234279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>#NextGen Fundraisers</w:t>
            </w:r>
            <w:r w:rsidR="00CF15AD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>)</w:t>
            </w:r>
          </w:p>
        </w:tc>
        <w:tc>
          <w:tcPr>
            <w:tcW w:w="5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00C8B" w14:textId="6F601777" w:rsidR="005227EE" w:rsidRDefault="001B5139" w:rsidP="00AE2AD3">
            <w:pPr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 xml:space="preserve">Salary: </w:t>
            </w:r>
            <w:r w:rsidR="00AE2AD3" w:rsidRPr="005227EE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 xml:space="preserve">0.2 </w:t>
            </w:r>
            <w:r w:rsidR="005227EE" w:rsidRPr="005227EE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 xml:space="preserve">FTE </w:t>
            </w:r>
            <w:r w:rsidR="00AE2AD3" w:rsidRPr="00AE2AD3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>(During August – December 2026)</w:t>
            </w:r>
            <w:r w:rsidR="00DD7EC4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 xml:space="preserve"> </w:t>
            </w:r>
          </w:p>
          <w:p w14:paraId="14ADEA9F" w14:textId="5B02C25A" w:rsidR="00FB71F8" w:rsidRDefault="00DD7EC4" w:rsidP="00AE2AD3">
            <w:pPr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>Contractor /Freelance position</w:t>
            </w:r>
            <w:r w:rsidR="00CF15AD">
              <w:rPr>
                <w:rFonts w:ascii="Aptos Narrow" w:hAnsi="Aptos Narrow" w:cs="Arial"/>
                <w:bCs/>
                <w:color w:val="101741" w:themeColor="text2"/>
                <w:sz w:val="20"/>
                <w:szCs w:val="20"/>
              </w:rPr>
              <w:t xml:space="preserve"> (Day rate tbc)</w:t>
            </w:r>
          </w:p>
          <w:p w14:paraId="49BD358D" w14:textId="4CE0C5E9" w:rsidR="00AE2AD3" w:rsidRPr="001B5139" w:rsidRDefault="00AE2AD3" w:rsidP="00AE2AD3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49D56B32" w14:textId="77777777" w:rsidTr="00B97739">
        <w:trPr>
          <w:jc w:val="center"/>
        </w:trPr>
        <w:tc>
          <w:tcPr>
            <w:tcW w:w="5197" w:type="dxa"/>
          </w:tcPr>
          <w:p w14:paraId="244D2CFC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  <w:tc>
          <w:tcPr>
            <w:tcW w:w="5198" w:type="dxa"/>
            <w:gridSpan w:val="3"/>
          </w:tcPr>
          <w:p w14:paraId="3FC37E69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521CC989" w14:textId="77777777" w:rsidTr="00B97739">
        <w:trPr>
          <w:jc w:val="center"/>
        </w:trPr>
        <w:tc>
          <w:tcPr>
            <w:tcW w:w="10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14:paraId="1B7E29F8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6273E2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JOB PURPOSE</w:t>
            </w:r>
          </w:p>
        </w:tc>
      </w:tr>
      <w:tr w:rsidR="001B5139" w:rsidRPr="001B5139" w14:paraId="0017DBAA" w14:textId="77777777" w:rsidTr="00B97739">
        <w:trPr>
          <w:jc w:val="center"/>
        </w:trPr>
        <w:tc>
          <w:tcPr>
            <w:tcW w:w="10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7B2E" w14:textId="77777777" w:rsidR="006273E2" w:rsidRDefault="006273E2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356C80AF" w14:textId="2D3E2E6C" w:rsidR="001B5139" w:rsidRPr="001B5139" w:rsidRDefault="001B5139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The</w:t>
            </w:r>
            <w:r w:rsidR="00CF15AD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="00CF15AD" w:rsidRPr="00CF15AD">
              <w:rPr>
                <w:rFonts w:ascii="Aptos Narrow" w:hAnsi="Aptos Narrow" w:cs="Arial"/>
                <w:b/>
                <w:bCs/>
                <w:color w:val="101741" w:themeColor="text2"/>
                <w:sz w:val="20"/>
                <w:szCs w:val="20"/>
              </w:rPr>
              <w:t>Youth Mentor</w:t>
            </w:r>
            <w:r w:rsidRPr="00CF15AD">
              <w:rPr>
                <w:rFonts w:ascii="Aptos Narrow" w:hAnsi="Aptos Narrow" w:cs="Arial"/>
                <w:b/>
                <w:bCs/>
                <w:color w:val="101741" w:themeColor="text2"/>
                <w:sz w:val="20"/>
                <w:szCs w:val="20"/>
              </w:rPr>
              <w:t xml:space="preserve"> </w:t>
            </w:r>
            <w:r w:rsidR="00CF15AD" w:rsidRPr="00CF15AD">
              <w:rPr>
                <w:rFonts w:ascii="Aptos Narrow" w:hAnsi="Aptos Narrow" w:cs="Arial"/>
                <w:b/>
                <w:bCs/>
                <w:color w:val="101741" w:themeColor="text2"/>
                <w:sz w:val="20"/>
                <w:szCs w:val="20"/>
              </w:rPr>
              <w:t>(</w:t>
            </w:r>
            <w:r w:rsidR="00AE2AD3" w:rsidRPr="00CF15AD">
              <w:rPr>
                <w:rFonts w:ascii="Aptos Narrow" w:hAnsi="Aptos Narrow" w:cs="Arial"/>
                <w:b/>
                <w:bCs/>
                <w:color w:val="101741" w:themeColor="text2"/>
                <w:sz w:val="20"/>
                <w:szCs w:val="20"/>
              </w:rPr>
              <w:t>#NextGen Fundraisers</w:t>
            </w:r>
            <w:r w:rsidR="00CF15AD" w:rsidRPr="00CF15AD">
              <w:rPr>
                <w:rFonts w:ascii="Aptos Narrow" w:hAnsi="Aptos Narrow" w:cs="Arial"/>
                <w:b/>
                <w:bCs/>
                <w:color w:val="101741" w:themeColor="text2"/>
                <w:sz w:val="20"/>
                <w:szCs w:val="20"/>
              </w:rPr>
              <w:t>)</w:t>
            </w:r>
            <w:r w:rsidRPr="001B5139"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 xml:space="preserve"> </w:t>
            </w: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will form part of the </w:t>
            </w:r>
            <w:hyperlink r:id="rId11" w:history="1">
              <w:r w:rsidRPr="001B5139">
                <w:rPr>
                  <w:rStyle w:val="Hyperlink"/>
                  <w:rFonts w:ascii="Aptos Narrow" w:hAnsi="Aptos Narrow" w:cs="Arial"/>
                  <w:color w:val="323ABF" w:themeColor="text1"/>
                  <w:sz w:val="20"/>
                  <w:szCs w:val="20"/>
                </w:rPr>
                <w:t>StreetGames</w:t>
              </w:r>
            </w:hyperlink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="00AE2AD3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London</w:t>
            </w: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team, work</w:t>
            </w:r>
            <w:r w:rsidR="00AE2AD3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ing specifically with staff involved with the delivery of the Foundations for Change programme. </w:t>
            </w:r>
          </w:p>
          <w:p w14:paraId="660BE31A" w14:textId="77777777" w:rsidR="001B5139" w:rsidRDefault="001B5139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0855C693" w14:textId="1AA08741" w:rsidR="007E04D4" w:rsidRPr="007E04D4" w:rsidRDefault="007E04D4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StreetGames 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have a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three-year 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funding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partnership with City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Bridge Foundation - London’s biggest independent charity funder.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The partnership </w:t>
            </w:r>
            <w:r w:rsidR="004002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is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enabl</w:t>
            </w:r>
            <w:r w:rsidR="004002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ing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us to support 150 community sport organisations to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increase their capability and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capacity, so they can be even more effective at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utilising the power of </w:t>
            </w:r>
            <w:hyperlink r:id="rId12" w:history="1">
              <w:r w:rsidRPr="0002483C">
                <w:rPr>
                  <w:rStyle w:val="Hyperlink"/>
                  <w:rFonts w:ascii="Aptos Narrow" w:hAnsi="Aptos Narrow" w:cs="Arial"/>
                  <w:color w:val="323ABF" w:themeColor="text1"/>
                  <w:sz w:val="20"/>
                  <w:szCs w:val="20"/>
                </w:rPr>
                <w:t>Doorstep Sport</w:t>
              </w:r>
            </w:hyperlink>
            <w:r w:rsidRPr="0002483C">
              <w:rPr>
                <w:rFonts w:ascii="Aptos Narrow" w:hAnsi="Aptos Narrow" w:cs="Arial"/>
                <w:color w:val="323ABF" w:themeColor="text1"/>
                <w:sz w:val="20"/>
                <w:szCs w:val="20"/>
              </w:rPr>
              <w:t xml:space="preserve">. 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The p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rogramme</w:t>
            </w:r>
            <w:r w:rsidR="004002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deliver</w:t>
            </w:r>
            <w:r w:rsidR="004002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expert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support to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community sport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organisations.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Helping them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strengthen their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services, improve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operational efficiency,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governance and build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long-term financial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sustainability.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We </w:t>
            </w:r>
            <w:r w:rsidR="00626C63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are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also foster</w:t>
            </w:r>
            <w:r w:rsidR="00626C63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ing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stronger sector-wide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collaboration and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advocacy, ensuring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a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more connected and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influential network.</w:t>
            </w:r>
          </w:p>
          <w:p w14:paraId="71143755" w14:textId="77777777" w:rsidR="001B5139" w:rsidRDefault="001B5139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01572DB6" w14:textId="557EE781" w:rsidR="007E04D4" w:rsidRDefault="007E04D4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Alongside the wider capacity support,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StreetGames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will be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running a #NextGen Fundraisers pilot project aimed at 16–2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2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-year-olds.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We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are looking for young people who want to ‘give back’ to their community organisation, develop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</w:t>
            </w:r>
            <w:r w:rsidRP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fundraising skills, and raise funds to deliver a LIVE project in their local neighbourhood.</w:t>
            </w:r>
          </w:p>
          <w:p w14:paraId="66B581BE" w14:textId="77777777" w:rsidR="0002483C" w:rsidRDefault="0002483C" w:rsidP="007E04D4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36EA7905" w14:textId="5BE188FE" w:rsidR="007142F2" w:rsidRPr="007142F2" w:rsidRDefault="005A78D9" w:rsidP="007142F2">
            <w:pPr>
              <w:jc w:val="both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The Youth Mentor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will inspire and support the young people recruited on the #NextGen Fundraisers pilot project (we anticipate recruiting between 10-15)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to assist with retention and </w:t>
            </w:r>
            <w:r w:rsidR="001521F1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on-going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input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.  </w:t>
            </w:r>
            <w:r w:rsidR="007142F2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In line with StreetGames values, you will demonstrate a</w:t>
            </w:r>
            <w:r w:rsidR="007142F2" w:rsidRPr="007142F2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strong commitment to youth voice, co</w:t>
            </w:r>
            <w:r w:rsidR="007142F2" w:rsidRPr="007142F2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noBreakHyphen/>
              <w:t>production and shifting power to young people from underserved communities.</w:t>
            </w:r>
          </w:p>
          <w:p w14:paraId="2F9B9E62" w14:textId="77777777" w:rsidR="001B5139" w:rsidRPr="001B5139" w:rsidRDefault="001B5139" w:rsidP="001B5139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3617C677" w14:textId="77777777" w:rsidTr="00B97739">
        <w:trPr>
          <w:jc w:val="center"/>
        </w:trPr>
        <w:tc>
          <w:tcPr>
            <w:tcW w:w="10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14:paraId="2E52B5DE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br w:type="page"/>
            </w: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br w:type="page"/>
            </w:r>
            <w:r w:rsidRPr="006273E2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MAIN DUTIES AND RESPONSIBILITIES</w:t>
            </w:r>
          </w:p>
        </w:tc>
      </w:tr>
      <w:tr w:rsidR="001B5139" w:rsidRPr="001B5139" w14:paraId="572B89DB" w14:textId="77777777" w:rsidTr="00B97739">
        <w:trPr>
          <w:jc w:val="center"/>
        </w:trPr>
        <w:tc>
          <w:tcPr>
            <w:tcW w:w="10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88EA" w14:textId="77777777" w:rsidR="001B5139" w:rsidRPr="001B5139" w:rsidRDefault="001B5139" w:rsidP="001B5139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0DBB4764" w14:textId="64AE8285" w:rsidR="00A352A2" w:rsidRDefault="00A352A2" w:rsidP="001B5139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The role will include regular touch points (a mix of face-to-face and online) to ensure the young people stay on task, feel supported and are provided with the opportunity to consolidate their learning.</w:t>
            </w:r>
          </w:p>
          <w:p w14:paraId="40025000" w14:textId="204838E4" w:rsidR="001B5139" w:rsidRPr="001B5139" w:rsidRDefault="0002483C" w:rsidP="001B5139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The mentor will be expected to attend the orientation meeting, peer research and race for investment </w:t>
            </w:r>
            <w:r w:rsid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training;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to provide a group touch point with the young people and to ensure </w:t>
            </w:r>
            <w:r w:rsid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they are fully abreast of the training content and expectations. </w:t>
            </w:r>
          </w:p>
          <w:p w14:paraId="33C3E56B" w14:textId="4AD953E3" w:rsidR="001B5139" w:rsidRPr="001B5139" w:rsidRDefault="002845CC" w:rsidP="001B5139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To liaise with the </w:t>
            </w:r>
            <w:r w:rsidR="00701377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designated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adult within each community sport organisation that has nominated a young person, </w:t>
            </w:r>
            <w:r w:rsidR="000448C0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to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ensure they are fully briefed </w:t>
            </w:r>
            <w:r w:rsidR="00DF0986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around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programme expectations and </w:t>
            </w:r>
            <w:r w:rsidR="00DF0986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to </w:t>
            </w:r>
            <w:r w:rsidR="00FD6020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collectively support the young person. </w:t>
            </w:r>
          </w:p>
          <w:p w14:paraId="0C3E70A0" w14:textId="77777777" w:rsidR="001B5139" w:rsidRDefault="002845CC" w:rsidP="002845CC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Empower each young person to develop a range of new skills, encouraging them to reflect upon their own progress and development. </w:t>
            </w:r>
          </w:p>
          <w:p w14:paraId="03F35520" w14:textId="77777777" w:rsidR="002845CC" w:rsidRDefault="002845CC" w:rsidP="002845CC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Where required identify preferred learning styles, to ensure when the young people attend training workshops the delivery style is inclusive and meets their individual needs. </w:t>
            </w:r>
          </w:p>
          <w:p w14:paraId="33F67F3D" w14:textId="2C9F9FA7" w:rsidR="002845CC" w:rsidRDefault="002845CC" w:rsidP="002845CC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Follow </w:t>
            </w:r>
            <w:hyperlink r:id="rId13" w:history="1">
              <w:r w:rsidRPr="002845CC">
                <w:rPr>
                  <w:rStyle w:val="Hyperlink"/>
                  <w:rFonts w:ascii="Aptos Narrow" w:hAnsi="Aptos Narrow" w:cs="Arial"/>
                  <w:color w:val="323ABF" w:themeColor="text1"/>
                  <w:sz w:val="20"/>
                  <w:szCs w:val="20"/>
                </w:rPr>
                <w:t>StreetGames safeguarding policies and procedures</w:t>
              </w:r>
            </w:hyperlink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, ensuring the safety and wellbeing of all young people you engage with. </w:t>
            </w:r>
          </w:p>
          <w:p w14:paraId="08710A33" w14:textId="59DDF7A3" w:rsidR="00BD553E" w:rsidRPr="00BD553E" w:rsidRDefault="00FD6020" w:rsidP="00BD553E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A</w:t>
            </w:r>
            <w:r w:rsidR="00BD553E" w:rsidRPr="00BD553E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dopt a strengths</w:t>
            </w:r>
            <w:r w:rsidR="00BD553E" w:rsidRPr="00BD553E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noBreakHyphen/>
              <w:t>based, youth</w:t>
            </w:r>
            <w:r w:rsidR="00BD553E" w:rsidRPr="00BD553E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noBreakHyphen/>
              <w:t>led approach, supporting young people to develop and articulate their own ideas rather than leading or delivering projects on their behalf.</w:t>
            </w:r>
          </w:p>
          <w:p w14:paraId="36FDBBAD" w14:textId="77777777" w:rsidR="008F06A5" w:rsidRDefault="008F06A5" w:rsidP="008F06A5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8F06A5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Support young people to move from learning to application, including developing and submitting a live funding bid or investment pitch.</w:t>
            </w:r>
          </w:p>
          <w:p w14:paraId="666A58C5" w14:textId="5435E6B1" w:rsidR="00C05A4B" w:rsidRPr="008F06A5" w:rsidRDefault="00C05A4B" w:rsidP="00DD7EC4">
            <w:pPr>
              <w:numPr>
                <w:ilvl w:val="0"/>
                <w:numId w:val="2"/>
              </w:num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C05A4B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Contribute to reflection and learning on the pilot programme, working with StreetGames staff to capture insights, challenges and good practice</w:t>
            </w:r>
            <w:r w:rsidR="000247C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, to inform the on-going development of the #NextGen Fundraisers</w:t>
            </w:r>
            <w:r w:rsidR="00452078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programme. </w:t>
            </w:r>
          </w:p>
          <w:p w14:paraId="417210CC" w14:textId="77777777" w:rsidR="00BD553E" w:rsidRDefault="00BD553E" w:rsidP="008F06A5">
            <w:pPr>
              <w:ind w:left="816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068FD6AE" w14:textId="5C245817" w:rsidR="002845CC" w:rsidRPr="001B5139" w:rsidRDefault="002845CC" w:rsidP="00A352A2">
            <w:pPr>
              <w:ind w:left="816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</w:tbl>
    <w:p w14:paraId="0A51F108" w14:textId="33DB70B0" w:rsidR="001B5139" w:rsidRDefault="001B5139" w:rsidP="001B5139">
      <w:pPr>
        <w:rPr>
          <w:rFonts w:ascii="Aptos Narrow" w:hAnsi="Aptos Narrow" w:cs="Arial"/>
          <w:color w:val="101741" w:themeColor="text2"/>
          <w:sz w:val="20"/>
          <w:szCs w:val="20"/>
        </w:rPr>
      </w:pPr>
    </w:p>
    <w:p w14:paraId="526B12B7" w14:textId="77777777" w:rsidR="00D6293E" w:rsidRPr="001B5139" w:rsidRDefault="00D6293E" w:rsidP="001B5139">
      <w:pPr>
        <w:rPr>
          <w:rFonts w:ascii="Aptos Narrow" w:hAnsi="Aptos Narrow" w:cs="Arial"/>
          <w:color w:val="101741" w:themeColor="text2"/>
          <w:sz w:val="20"/>
          <w:szCs w:val="20"/>
        </w:rPr>
      </w:pPr>
    </w:p>
    <w:tbl>
      <w:tblPr>
        <w:tblW w:w="10455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4927"/>
        <w:gridCol w:w="2551"/>
        <w:gridCol w:w="2977"/>
      </w:tblGrid>
      <w:tr w:rsidR="001B5139" w:rsidRPr="001B5139" w14:paraId="66E9C817" w14:textId="77777777" w:rsidTr="0002483C">
        <w:tc>
          <w:tcPr>
            <w:tcW w:w="7478" w:type="dxa"/>
            <w:gridSpan w:val="2"/>
            <w:hideMark/>
          </w:tcPr>
          <w:p w14:paraId="04987EDA" w14:textId="77777777" w:rsidR="001B5139" w:rsidRPr="001B5139" w:rsidRDefault="001B5139" w:rsidP="00B977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lastRenderedPageBreak/>
              <w:br w:type="page"/>
            </w:r>
            <w:r w:rsidRPr="001B5139"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  <w:t>PERSON SPECIFICATION</w:t>
            </w:r>
          </w:p>
        </w:tc>
        <w:tc>
          <w:tcPr>
            <w:tcW w:w="2977" w:type="dxa"/>
          </w:tcPr>
          <w:p w14:paraId="6947147C" w14:textId="77777777" w:rsidR="001B5139" w:rsidRPr="001B5139" w:rsidRDefault="001B5139" w:rsidP="001B5139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26F4BB6B" w14:textId="77777777" w:rsidTr="00B97739">
        <w:trPr>
          <w:trHeight w:val="185"/>
        </w:trPr>
        <w:tc>
          <w:tcPr>
            <w:tcW w:w="7478" w:type="dxa"/>
            <w:gridSpan w:val="2"/>
          </w:tcPr>
          <w:p w14:paraId="31ADFB8A" w14:textId="77777777" w:rsidR="001B5139" w:rsidRPr="00B97739" w:rsidRDefault="001B5139" w:rsidP="00B97739">
            <w:pPr>
              <w:rPr>
                <w:rFonts w:ascii="Aptos Narrow" w:hAnsi="Aptos Narrow" w:cs="Arial"/>
                <w:color w:val="101741" w:themeColor="text2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A97A729" w14:textId="77777777" w:rsidR="001B5139" w:rsidRPr="001B5139" w:rsidRDefault="001B5139" w:rsidP="001B5139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407C36AC" w14:textId="77777777" w:rsidTr="0002483C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14:paraId="7AB48AA6" w14:textId="18B12EC3" w:rsidR="001B5139" w:rsidRPr="001B5139" w:rsidRDefault="002845CC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2845CC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E</w:t>
            </w:r>
            <w:r w:rsidR="00FB71F8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XPERIENCE: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7B37F0BF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2C1BC5B3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58F8C15E" w14:textId="77777777" w:rsidTr="0002483C">
        <w:trPr>
          <w:cantSplit/>
        </w:trPr>
        <w:tc>
          <w:tcPr>
            <w:tcW w:w="10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4BBC" w14:textId="77777777" w:rsidR="001B5139" w:rsidRPr="001B5139" w:rsidRDefault="001B5139" w:rsidP="001B5139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554850AD" w14:textId="4C3FEFC3" w:rsidR="001B5139" w:rsidRPr="001B5139" w:rsidRDefault="001B5139" w:rsidP="000A19EE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Experience and understanding of working with community organisations within areas of poverty and deprivation</w:t>
            </w:r>
            <w:r w:rsid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.</w:t>
            </w:r>
          </w:p>
          <w:p w14:paraId="33151E80" w14:textId="68A92054" w:rsidR="001B5139" w:rsidRDefault="00A352A2" w:rsidP="000A19EE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Experience</w:t>
            </w:r>
            <w:r w:rsid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working with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young adults aged 16 plus</w:t>
            </w:r>
            <w:r w:rsidR="007E04D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. </w:t>
            </w:r>
          </w:p>
          <w:p w14:paraId="4F05EFF5" w14:textId="553F7BFD" w:rsidR="007E04D4" w:rsidRDefault="007E04D4" w:rsidP="000A19EE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Hold a recognised youth work qualification (e.g. Level 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3 or 4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 in Youth Work) or have equivalent </w:t>
            </w:r>
            <w:r w:rsidR="008D376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mentoring </w:t>
            </w:r>
            <w:r w:rsidR="00607581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/youth work </w:t>
            </w: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experience.</w:t>
            </w:r>
          </w:p>
          <w:p w14:paraId="18385A61" w14:textId="77777777" w:rsidR="007E04D4" w:rsidRDefault="007E04D4" w:rsidP="000A19EE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Have an extensive track record of mentoring and engaging </w:t>
            </w:r>
            <w:r w:rsidR="0002483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young people from underserved communities.</w:t>
            </w:r>
          </w:p>
          <w:p w14:paraId="31EC7666" w14:textId="77777777" w:rsidR="0002483C" w:rsidRDefault="009664AD" w:rsidP="00F70CEE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9664AD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An understanding of fundraising, social investment or income generation for community organisations (</w:t>
            </w:r>
            <w:r w:rsidR="0013372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is </w:t>
            </w:r>
            <w:r w:rsidRPr="009664AD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desirable, </w:t>
            </w:r>
            <w:r w:rsidR="0013372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but </w:t>
            </w:r>
            <w:r w:rsidRPr="009664AD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not essential)</w:t>
            </w:r>
            <w:r w:rsidR="00133724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.</w:t>
            </w:r>
          </w:p>
          <w:p w14:paraId="5213B44D" w14:textId="5C77C5AB" w:rsidR="00F70CEE" w:rsidRPr="00F70CEE" w:rsidRDefault="00F70CEE" w:rsidP="00F70CEE">
            <w:pPr>
              <w:spacing w:after="120"/>
              <w:ind w:left="714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7C67B4DF" w14:textId="77777777" w:rsidTr="0002483C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14:paraId="5A1F1ED2" w14:textId="7CD06B98" w:rsidR="001B5139" w:rsidRPr="001B5139" w:rsidRDefault="00FB71F8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 xml:space="preserve">SKILLS AND </w:t>
            </w:r>
            <w:r w:rsidR="00BC0035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KNOWLEDGE</w:t>
            </w:r>
            <w:r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76EE38CD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2C05FA7F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02483C" w:rsidRPr="001B5139" w14:paraId="6AD8EECE" w14:textId="77777777" w:rsidTr="0002483C">
        <w:trPr>
          <w:cantSplit/>
          <w:trHeight w:val="3921"/>
        </w:trPr>
        <w:tc>
          <w:tcPr>
            <w:tcW w:w="10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2CDF1" w14:textId="77777777" w:rsidR="0002483C" w:rsidRPr="001B5139" w:rsidRDefault="0002483C" w:rsidP="000A19EE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  <w:p w14:paraId="67F36500" w14:textId="77777777" w:rsidR="0002483C" w:rsidRPr="0089445B" w:rsidRDefault="0002483C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>Values led approach reflecting StreetGames values of People-Centred, Passionate, Positive, Pragmatic and Courageous.</w:t>
            </w:r>
          </w:p>
          <w:p w14:paraId="7F7691A7" w14:textId="77777777" w:rsidR="0002483C" w:rsidRPr="0089445B" w:rsidRDefault="0002483C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>Excellent interpersonal communication skills; presenting ideas and information, providing clear instructions.</w:t>
            </w:r>
          </w:p>
          <w:p w14:paraId="699D88CF" w14:textId="77777777" w:rsidR="0002483C" w:rsidRPr="0089445B" w:rsidRDefault="0002483C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>Excellent organisational skills, able to manage a range of priorities simultaneously.</w:t>
            </w:r>
          </w:p>
          <w:p w14:paraId="24033663" w14:textId="3007275C" w:rsidR="00A352A2" w:rsidRPr="0089445B" w:rsidRDefault="00A352A2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>Drawing on personal lived experience, the ability to connect, build trust and inspire the young people on the programme.</w:t>
            </w:r>
          </w:p>
          <w:p w14:paraId="5B964982" w14:textId="276A5780" w:rsidR="0002483C" w:rsidRPr="0089445B" w:rsidRDefault="0002483C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>Able to use own initiative and work without close supervision</w:t>
            </w:r>
            <w:r w:rsidR="0020709E" w:rsidRPr="0089445B">
              <w:rPr>
                <w:rFonts w:ascii="Aptos Narrow" w:hAnsi="Aptos Narrow" w:cs="Arial"/>
                <w:sz w:val="20"/>
                <w:szCs w:val="20"/>
              </w:rPr>
              <w:t>.</w:t>
            </w:r>
          </w:p>
          <w:p w14:paraId="1ACE5C1F" w14:textId="77777777" w:rsidR="0002483C" w:rsidRPr="0089445B" w:rsidRDefault="0002483C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>Strong teamwork skills with the ability to play a role within a team, communicating effectively with other team members.</w:t>
            </w:r>
          </w:p>
          <w:p w14:paraId="79B0C57C" w14:textId="77777777" w:rsidR="0002483C" w:rsidRPr="0089445B" w:rsidRDefault="0002483C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 xml:space="preserve">Able to use Word, Excel and </w:t>
            </w:r>
            <w:proofErr w:type="spellStart"/>
            <w:r w:rsidRPr="0089445B">
              <w:rPr>
                <w:rFonts w:ascii="Aptos Narrow" w:hAnsi="Aptos Narrow" w:cs="Arial"/>
                <w:sz w:val="20"/>
                <w:szCs w:val="20"/>
              </w:rPr>
              <w:t>Powerpoint</w:t>
            </w:r>
            <w:proofErr w:type="spellEnd"/>
            <w:r w:rsidRPr="0089445B">
              <w:rPr>
                <w:rFonts w:ascii="Aptos Narrow" w:hAnsi="Aptos Narrow" w:cs="Arial"/>
                <w:sz w:val="20"/>
                <w:szCs w:val="20"/>
              </w:rPr>
              <w:t xml:space="preserve"> and email effectively. </w:t>
            </w:r>
          </w:p>
          <w:p w14:paraId="358ECF66" w14:textId="68F0C0E4" w:rsidR="00C955AB" w:rsidRPr="0089445B" w:rsidRDefault="00C955AB" w:rsidP="00012244">
            <w:pPr>
              <w:numPr>
                <w:ilvl w:val="0"/>
                <w:numId w:val="4"/>
              </w:numPr>
              <w:spacing w:after="120" w:line="300" w:lineRule="atLeast"/>
              <w:rPr>
                <w:rFonts w:ascii="Aptos Narrow" w:eastAsia="Times New Roman" w:hAnsi="Aptos Narrow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445B">
              <w:rPr>
                <w:rFonts w:ascii="Aptos Narrow" w:eastAsia="Times New Roman" w:hAnsi="Aptos Narrow" w:cs="Segoe UI"/>
                <w:kern w:val="0"/>
                <w:sz w:val="20"/>
                <w:szCs w:val="20"/>
                <w:lang w:eastAsia="en-GB"/>
                <w14:ligatures w14:val="none"/>
              </w:rPr>
              <w:t>Ability to mentor young people online safely and effectively.</w:t>
            </w:r>
          </w:p>
          <w:p w14:paraId="42B74064" w14:textId="6E38AF1A" w:rsidR="00C955AB" w:rsidRPr="0089445B" w:rsidRDefault="00C955AB" w:rsidP="00012244">
            <w:pPr>
              <w:numPr>
                <w:ilvl w:val="0"/>
                <w:numId w:val="4"/>
              </w:numPr>
              <w:spacing w:after="120" w:line="300" w:lineRule="atLeast"/>
              <w:rPr>
                <w:rFonts w:ascii="Aptos Narrow" w:eastAsia="Times New Roman" w:hAnsi="Aptos Narrow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445B">
              <w:rPr>
                <w:rFonts w:ascii="Aptos Narrow" w:eastAsia="Times New Roman" w:hAnsi="Aptos Narrow" w:cs="Segoe UI"/>
                <w:kern w:val="0"/>
                <w:sz w:val="20"/>
                <w:szCs w:val="20"/>
                <w:lang w:eastAsia="en-GB"/>
                <w14:ligatures w14:val="none"/>
              </w:rPr>
              <w:t>Understanding of professional boundaries in digital youth work</w:t>
            </w:r>
            <w:r w:rsidR="000A19EE" w:rsidRPr="0089445B">
              <w:rPr>
                <w:rFonts w:ascii="Aptos Narrow" w:eastAsia="Times New Roman" w:hAnsi="Aptos Narrow" w:cs="Segoe U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45BE736A" w14:textId="16DE694C" w:rsidR="00012244" w:rsidRPr="0089445B" w:rsidRDefault="00012244" w:rsidP="00012244">
            <w:pPr>
              <w:numPr>
                <w:ilvl w:val="0"/>
                <w:numId w:val="4"/>
              </w:numPr>
              <w:spacing w:after="120"/>
              <w:rPr>
                <w:rFonts w:ascii="Aptos Narrow" w:hAnsi="Aptos Narrow" w:cs="Arial"/>
                <w:sz w:val="20"/>
                <w:szCs w:val="20"/>
              </w:rPr>
            </w:pPr>
            <w:r w:rsidRPr="0089445B">
              <w:rPr>
                <w:rFonts w:ascii="Aptos Narrow" w:hAnsi="Aptos Narrow" w:cs="Arial"/>
                <w:sz w:val="20"/>
                <w:szCs w:val="20"/>
              </w:rPr>
              <w:t xml:space="preserve">The ability to enthuse, support and motivate young people recruited on to the #NextGen Fundraisers pilot programme. </w:t>
            </w:r>
          </w:p>
          <w:p w14:paraId="02BEC003" w14:textId="77777777" w:rsidR="0002483C" w:rsidRPr="001B5139" w:rsidRDefault="0002483C" w:rsidP="00B97739">
            <w:pPr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2AD820BC" w14:textId="77777777" w:rsidTr="0002483C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14:paraId="431C3106" w14:textId="4D09A6E6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  <w:r w:rsidRPr="001B5139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W</w:t>
            </w:r>
            <w:r w:rsidR="00F70CEE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IDER</w:t>
            </w:r>
            <w:r w:rsidR="00F27985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 xml:space="preserve"> </w:t>
            </w:r>
            <w:r w:rsidR="00B70D0B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>CONTEXT</w:t>
            </w:r>
            <w:r w:rsidR="004B09AC">
              <w:rPr>
                <w:rFonts w:ascii="Aptos Narrow" w:hAnsi="Aptos Narrow" w:cs="Arial"/>
                <w:b/>
                <w:color w:val="FCFAF7" w:themeColor="background1"/>
                <w:sz w:val="20"/>
                <w:szCs w:val="20"/>
              </w:rPr>
              <w:t xml:space="preserve"> TO THE POSITION: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2B9180BB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08045FB4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</w:tc>
      </w:tr>
      <w:tr w:rsidR="001B5139" w:rsidRPr="001B5139" w14:paraId="29CA75BA" w14:textId="77777777" w:rsidTr="0002483C">
        <w:trPr>
          <w:cantSplit/>
        </w:trPr>
        <w:tc>
          <w:tcPr>
            <w:tcW w:w="10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8372" w14:textId="77777777" w:rsidR="001B5139" w:rsidRPr="001B5139" w:rsidRDefault="001B5139" w:rsidP="001B5139">
            <w:pPr>
              <w:rPr>
                <w:rFonts w:ascii="Aptos Narrow" w:hAnsi="Aptos Narrow" w:cs="Arial"/>
                <w:b/>
                <w:color w:val="101741" w:themeColor="text2"/>
                <w:sz w:val="20"/>
                <w:szCs w:val="20"/>
              </w:rPr>
            </w:pPr>
          </w:p>
          <w:p w14:paraId="1DFB7A44" w14:textId="2E128923" w:rsidR="001B5139" w:rsidRPr="002845CC" w:rsidRDefault="001B5139" w:rsidP="00F70CEE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This post </w:t>
            </w:r>
            <w:r w:rsidR="002845CC" w:rsidRP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will </w:t>
            </w:r>
            <w:r w:rsidRP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be subject to a Disclosure and Barring Service check.</w:t>
            </w:r>
          </w:p>
          <w:p w14:paraId="11EC79D3" w14:textId="77777777" w:rsidR="001B5139" w:rsidRDefault="001B5139" w:rsidP="00F70CEE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The post holder must be able to travel </w:t>
            </w:r>
            <w:r w:rsidR="002845CC" w:rsidRP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across London </w:t>
            </w:r>
            <w:r w:rsidRPr="002845CC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for work purposes</w:t>
            </w:r>
            <w:r w:rsidR="0077200B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 xml:space="preserve">, and there may be a requirement to work evenings and/or weekends on occasions. </w:t>
            </w:r>
          </w:p>
          <w:p w14:paraId="2B5BA5B0" w14:textId="77777777" w:rsidR="00F70CEE" w:rsidRDefault="00F70CEE" w:rsidP="00F70CEE">
            <w:pPr>
              <w:numPr>
                <w:ilvl w:val="0"/>
                <w:numId w:val="8"/>
              </w:numPr>
              <w:ind w:left="357" w:hanging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  <w:r w:rsidRPr="00AF734A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t>StreetGames actively encourages applications from people with lived experience of the communities we serve and from under</w:t>
            </w:r>
            <w:r w:rsidRPr="00AF734A"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  <w:noBreakHyphen/>
              <w:t>represented groups in the charity and sports sector.</w:t>
            </w:r>
          </w:p>
          <w:p w14:paraId="10DA826E" w14:textId="65DA1227" w:rsidR="00F70CEE" w:rsidRPr="00F70CEE" w:rsidRDefault="00F70CEE" w:rsidP="00F70CEE">
            <w:pPr>
              <w:ind w:left="357"/>
              <w:rPr>
                <w:rFonts w:ascii="Aptos Narrow" w:hAnsi="Aptos Narrow" w:cs="Arial"/>
                <w:color w:val="101741" w:themeColor="text2"/>
                <w:sz w:val="20"/>
                <w:szCs w:val="20"/>
              </w:rPr>
            </w:pPr>
          </w:p>
        </w:tc>
      </w:tr>
    </w:tbl>
    <w:p w14:paraId="15E55C7B" w14:textId="17ABC947" w:rsidR="00D23A52" w:rsidRDefault="00D23A52" w:rsidP="00D23A52">
      <w:pPr>
        <w:rPr>
          <w:rFonts w:ascii="Aptos Narrow" w:hAnsi="Aptos Narrow" w:cs="Arial"/>
          <w:color w:val="101741" w:themeColor="text2"/>
          <w:sz w:val="20"/>
          <w:szCs w:val="20"/>
        </w:rPr>
      </w:pPr>
    </w:p>
    <w:p w14:paraId="5808312D" w14:textId="77777777" w:rsidR="001246DA" w:rsidRDefault="001246DA" w:rsidP="00D23A52">
      <w:pPr>
        <w:rPr>
          <w:rFonts w:ascii="Aptos Narrow" w:hAnsi="Aptos Narrow" w:cs="Arial"/>
          <w:color w:val="101741" w:themeColor="text2"/>
          <w:sz w:val="20"/>
          <w:szCs w:val="20"/>
        </w:rPr>
      </w:pPr>
    </w:p>
    <w:p w14:paraId="171DC8EB" w14:textId="77777777" w:rsidR="001246DA" w:rsidRDefault="001246DA" w:rsidP="00D23A52">
      <w:pPr>
        <w:rPr>
          <w:rFonts w:ascii="Aptos Narrow" w:hAnsi="Aptos Narrow" w:cs="Arial"/>
          <w:color w:val="101741" w:themeColor="text2"/>
          <w:sz w:val="20"/>
          <w:szCs w:val="20"/>
        </w:rPr>
      </w:pPr>
    </w:p>
    <w:p w14:paraId="73FC5942" w14:textId="0B4BE03C" w:rsidR="001246DA" w:rsidRPr="001B5139" w:rsidRDefault="001246DA" w:rsidP="00D23A52">
      <w:pPr>
        <w:rPr>
          <w:rFonts w:ascii="Aptos Narrow" w:hAnsi="Aptos Narrow" w:cs="Arial"/>
          <w:color w:val="101741" w:themeColor="text2"/>
          <w:sz w:val="20"/>
          <w:szCs w:val="20"/>
        </w:rPr>
      </w:pPr>
    </w:p>
    <w:sectPr w:rsidR="001246DA" w:rsidRPr="001B5139" w:rsidSect="00D23A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EE7A" w14:textId="77777777" w:rsidR="0024731C" w:rsidRDefault="0024731C" w:rsidP="000E3922">
      <w:r>
        <w:separator/>
      </w:r>
    </w:p>
  </w:endnote>
  <w:endnote w:type="continuationSeparator" w:id="0">
    <w:p w14:paraId="5710E608" w14:textId="77777777" w:rsidR="0024731C" w:rsidRDefault="0024731C" w:rsidP="000E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20A8" w14:textId="77777777" w:rsidR="001246DA" w:rsidRDefault="00124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1DFC" w14:textId="56BD62FA" w:rsidR="001246DA" w:rsidRPr="00C03AD7" w:rsidRDefault="00C03AD7">
    <w:pPr>
      <w:pStyle w:val="Footer"/>
      <w:rPr>
        <w:rFonts w:ascii="Aptos Narrow" w:hAnsi="Aptos Narrow"/>
        <w:sz w:val="20"/>
        <w:szCs w:val="20"/>
      </w:rPr>
    </w:pPr>
    <w:r w:rsidRPr="00C03AD7">
      <w:rPr>
        <w:rFonts w:ascii="Aptos Narrow" w:hAnsi="Aptos Narrow"/>
        <w:sz w:val="20"/>
        <w:szCs w:val="20"/>
      </w:rPr>
      <w:t>V</w:t>
    </w:r>
    <w:r w:rsidR="00071423">
      <w:rPr>
        <w:rFonts w:ascii="Aptos Narrow" w:hAnsi="Aptos Narrow"/>
        <w:sz w:val="20"/>
        <w:szCs w:val="20"/>
      </w:rPr>
      <w:t>2</w:t>
    </w:r>
    <w:r w:rsidRPr="00C03AD7">
      <w:rPr>
        <w:rFonts w:ascii="Aptos Narrow" w:hAnsi="Aptos Narrow"/>
        <w:sz w:val="20"/>
        <w:szCs w:val="20"/>
      </w:rPr>
      <w:t xml:space="preserve"> (</w:t>
    </w:r>
    <w:r w:rsidR="00071423">
      <w:rPr>
        <w:rFonts w:ascii="Aptos Narrow" w:hAnsi="Aptos Narrow"/>
        <w:sz w:val="20"/>
        <w:szCs w:val="20"/>
      </w:rPr>
      <w:t>13</w:t>
    </w:r>
    <w:r w:rsidRPr="00C03AD7">
      <w:rPr>
        <w:rFonts w:ascii="Aptos Narrow" w:hAnsi="Aptos Narrow"/>
        <w:sz w:val="20"/>
        <w:szCs w:val="20"/>
      </w:rPr>
      <w:t>.04.2026)</w:t>
    </w:r>
  </w:p>
  <w:p w14:paraId="5424B01E" w14:textId="77777777" w:rsidR="001246DA" w:rsidRDefault="00124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33D4" w14:textId="77777777" w:rsidR="001246DA" w:rsidRDefault="0012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AC64" w14:textId="77777777" w:rsidR="0024731C" w:rsidRDefault="0024731C" w:rsidP="000E3922">
      <w:r>
        <w:separator/>
      </w:r>
    </w:p>
  </w:footnote>
  <w:footnote w:type="continuationSeparator" w:id="0">
    <w:p w14:paraId="1FBD38DD" w14:textId="77777777" w:rsidR="0024731C" w:rsidRDefault="0024731C" w:rsidP="000E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B543" w14:textId="77777777" w:rsidR="001246DA" w:rsidRDefault="00124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E63D" w14:textId="77777777" w:rsidR="00C03AD7" w:rsidRDefault="00C03AD7">
    <w:pPr>
      <w:pStyle w:val="Header"/>
      <w:rPr>
        <w:noProof/>
      </w:rPr>
    </w:pPr>
  </w:p>
  <w:p w14:paraId="7134D017" w14:textId="5589ED71" w:rsidR="000E3922" w:rsidRDefault="000E39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5F26C" wp14:editId="2831E2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18" cy="10692000"/>
          <wp:effectExtent l="0" t="0" r="4445" b="0"/>
          <wp:wrapNone/>
          <wp:docPr id="79516582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65822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897C" w14:textId="77777777" w:rsidR="001246DA" w:rsidRDefault="00124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11CC"/>
    <w:multiLevelType w:val="hybridMultilevel"/>
    <w:tmpl w:val="60783A30"/>
    <w:lvl w:ilvl="0" w:tplc="0809000F">
      <w:start w:val="1"/>
      <w:numFmt w:val="decimal"/>
      <w:lvlText w:val="%1."/>
      <w:lvlJc w:val="left"/>
      <w:pPr>
        <w:ind w:left="816" w:hanging="456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4642"/>
    <w:multiLevelType w:val="hybridMultilevel"/>
    <w:tmpl w:val="04EAF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52EF"/>
    <w:multiLevelType w:val="hybridMultilevel"/>
    <w:tmpl w:val="D4289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C3403"/>
    <w:multiLevelType w:val="multilevel"/>
    <w:tmpl w:val="4A38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E71F7"/>
    <w:multiLevelType w:val="hybridMultilevel"/>
    <w:tmpl w:val="AE84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54E1"/>
    <w:multiLevelType w:val="hybridMultilevel"/>
    <w:tmpl w:val="084CA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17EA2"/>
    <w:multiLevelType w:val="hybridMultilevel"/>
    <w:tmpl w:val="2A488A5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069131">
    <w:abstractNumId w:val="4"/>
  </w:num>
  <w:num w:numId="2" w16cid:durableId="15871835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48010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53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217811">
    <w:abstractNumId w:val="0"/>
  </w:num>
  <w:num w:numId="6" w16cid:durableId="883326414">
    <w:abstractNumId w:val="1"/>
  </w:num>
  <w:num w:numId="7" w16cid:durableId="835002308">
    <w:abstractNumId w:val="5"/>
  </w:num>
  <w:num w:numId="8" w16cid:durableId="1589465520">
    <w:abstractNumId w:val="6"/>
  </w:num>
  <w:num w:numId="9" w16cid:durableId="51500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B"/>
    <w:rsid w:val="00012244"/>
    <w:rsid w:val="000247C4"/>
    <w:rsid w:val="0002483C"/>
    <w:rsid w:val="000448C0"/>
    <w:rsid w:val="00071423"/>
    <w:rsid w:val="000A19EE"/>
    <w:rsid w:val="000D4528"/>
    <w:rsid w:val="000E3922"/>
    <w:rsid w:val="00107BCC"/>
    <w:rsid w:val="00113AF2"/>
    <w:rsid w:val="001246DA"/>
    <w:rsid w:val="00127A3B"/>
    <w:rsid w:val="00133724"/>
    <w:rsid w:val="001521F1"/>
    <w:rsid w:val="001B4934"/>
    <w:rsid w:val="001B5139"/>
    <w:rsid w:val="002026E5"/>
    <w:rsid w:val="0020709E"/>
    <w:rsid w:val="00234279"/>
    <w:rsid w:val="0024731C"/>
    <w:rsid w:val="002845CC"/>
    <w:rsid w:val="002A5C35"/>
    <w:rsid w:val="00315A07"/>
    <w:rsid w:val="00396C34"/>
    <w:rsid w:val="003F2315"/>
    <w:rsid w:val="004002D4"/>
    <w:rsid w:val="00452078"/>
    <w:rsid w:val="004816CB"/>
    <w:rsid w:val="004B09AC"/>
    <w:rsid w:val="00521FD1"/>
    <w:rsid w:val="005227EE"/>
    <w:rsid w:val="00545244"/>
    <w:rsid w:val="005A78D9"/>
    <w:rsid w:val="005B64A7"/>
    <w:rsid w:val="00604E2B"/>
    <w:rsid w:val="00607581"/>
    <w:rsid w:val="006236DD"/>
    <w:rsid w:val="00626C63"/>
    <w:rsid w:val="006273E2"/>
    <w:rsid w:val="00670942"/>
    <w:rsid w:val="006A1522"/>
    <w:rsid w:val="00701377"/>
    <w:rsid w:val="007142F2"/>
    <w:rsid w:val="0077200B"/>
    <w:rsid w:val="007B0D17"/>
    <w:rsid w:val="007E04D4"/>
    <w:rsid w:val="0089331C"/>
    <w:rsid w:val="0089445B"/>
    <w:rsid w:val="00894622"/>
    <w:rsid w:val="008D376C"/>
    <w:rsid w:val="008F06A5"/>
    <w:rsid w:val="00940A4E"/>
    <w:rsid w:val="009664AD"/>
    <w:rsid w:val="00984047"/>
    <w:rsid w:val="00A02602"/>
    <w:rsid w:val="00A24F25"/>
    <w:rsid w:val="00A352A2"/>
    <w:rsid w:val="00AC628E"/>
    <w:rsid w:val="00AE2AD3"/>
    <w:rsid w:val="00AF734A"/>
    <w:rsid w:val="00B6003E"/>
    <w:rsid w:val="00B70D0B"/>
    <w:rsid w:val="00B9550F"/>
    <w:rsid w:val="00B97739"/>
    <w:rsid w:val="00BC0035"/>
    <w:rsid w:val="00BD1C76"/>
    <w:rsid w:val="00BD553E"/>
    <w:rsid w:val="00C03AD7"/>
    <w:rsid w:val="00C05A4B"/>
    <w:rsid w:val="00C33310"/>
    <w:rsid w:val="00C44799"/>
    <w:rsid w:val="00C61627"/>
    <w:rsid w:val="00C955AB"/>
    <w:rsid w:val="00CA373F"/>
    <w:rsid w:val="00CF15AD"/>
    <w:rsid w:val="00D23A52"/>
    <w:rsid w:val="00D4242A"/>
    <w:rsid w:val="00D57224"/>
    <w:rsid w:val="00D6293E"/>
    <w:rsid w:val="00DD7EC4"/>
    <w:rsid w:val="00DF0986"/>
    <w:rsid w:val="00DF2EB3"/>
    <w:rsid w:val="00F27985"/>
    <w:rsid w:val="00F63E5A"/>
    <w:rsid w:val="00F70CEE"/>
    <w:rsid w:val="00F72028"/>
    <w:rsid w:val="00F92520"/>
    <w:rsid w:val="00FB5D92"/>
    <w:rsid w:val="00FB71F8"/>
    <w:rsid w:val="00FC3E66"/>
    <w:rsid w:val="00FD6020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9A10"/>
  <w15:chartTrackingRefBased/>
  <w15:docId w15:val="{7EC1CE14-4961-404D-AA2D-648A636C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3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9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1EA07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1EA07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EA07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EA07E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EA07E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2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7479DA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22"/>
    <w:pPr>
      <w:keepNext/>
      <w:keepLines/>
      <w:spacing w:before="40" w:line="259" w:lineRule="auto"/>
      <w:outlineLvl w:val="6"/>
    </w:pPr>
    <w:rPr>
      <w:rFonts w:eastAsiaTheme="majorEastAsia" w:cstheme="majorBidi"/>
      <w:color w:val="7479DA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2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4A51CF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22"/>
    <w:pPr>
      <w:keepNext/>
      <w:keepLines/>
      <w:spacing w:line="259" w:lineRule="auto"/>
      <w:outlineLvl w:val="8"/>
    </w:pPr>
    <w:rPr>
      <w:rFonts w:eastAsiaTheme="majorEastAsia" w:cstheme="majorBidi"/>
      <w:color w:val="4A51CF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22"/>
    <w:rPr>
      <w:rFonts w:asciiTheme="majorHAnsi" w:eastAsiaTheme="majorEastAsia" w:hAnsiTheme="majorHAnsi" w:cstheme="majorBidi"/>
      <w:color w:val="1EA07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22"/>
    <w:rPr>
      <w:rFonts w:asciiTheme="majorHAnsi" w:eastAsiaTheme="majorEastAsia" w:hAnsiTheme="majorHAnsi" w:cstheme="majorBidi"/>
      <w:color w:val="1EA07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22"/>
    <w:rPr>
      <w:rFonts w:eastAsiaTheme="majorEastAsia" w:cstheme="majorBidi"/>
      <w:color w:val="1EA07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22"/>
    <w:rPr>
      <w:rFonts w:eastAsiaTheme="majorEastAsia" w:cstheme="majorBidi"/>
      <w:i/>
      <w:iCs/>
      <w:color w:val="1EA0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22"/>
    <w:rPr>
      <w:rFonts w:eastAsiaTheme="majorEastAsia" w:cstheme="majorBidi"/>
      <w:color w:val="1EA0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22"/>
    <w:rPr>
      <w:rFonts w:eastAsiaTheme="majorEastAsia" w:cstheme="majorBidi"/>
      <w:i/>
      <w:iCs/>
      <w:color w:val="7479D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22"/>
    <w:rPr>
      <w:rFonts w:eastAsiaTheme="majorEastAsia" w:cstheme="majorBidi"/>
      <w:color w:val="7479D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22"/>
    <w:rPr>
      <w:rFonts w:eastAsiaTheme="majorEastAsia" w:cstheme="majorBidi"/>
      <w:i/>
      <w:iCs/>
      <w:color w:val="4A51C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22"/>
    <w:rPr>
      <w:rFonts w:eastAsiaTheme="majorEastAsia" w:cstheme="majorBidi"/>
      <w:color w:val="4A51C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22"/>
    <w:pPr>
      <w:numPr>
        <w:ilvl w:val="1"/>
      </w:numPr>
      <w:spacing w:after="160" w:line="259" w:lineRule="auto"/>
    </w:pPr>
    <w:rPr>
      <w:rFonts w:eastAsiaTheme="majorEastAsia" w:cstheme="majorBidi"/>
      <w:color w:val="7479D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22"/>
    <w:rPr>
      <w:rFonts w:eastAsiaTheme="majorEastAsia" w:cstheme="majorBidi"/>
      <w:color w:val="7479D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22"/>
    <w:pPr>
      <w:spacing w:before="160" w:after="160" w:line="259" w:lineRule="auto"/>
      <w:jc w:val="center"/>
    </w:pPr>
    <w:rPr>
      <w:i/>
      <w:iCs/>
      <w:color w:val="5F65D5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E3922"/>
    <w:rPr>
      <w:i/>
      <w:iCs/>
      <w:color w:val="5F65D5" w:themeColor="text1" w:themeTint="BF"/>
    </w:rPr>
  </w:style>
  <w:style w:type="paragraph" w:styleId="ListParagraph">
    <w:name w:val="List Paragraph"/>
    <w:basedOn w:val="Normal"/>
    <w:uiPriority w:val="34"/>
    <w:qFormat/>
    <w:rsid w:val="000E392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E3922"/>
    <w:rPr>
      <w:i/>
      <w:iCs/>
      <w:color w:val="1EA0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22"/>
    <w:pPr>
      <w:pBdr>
        <w:top w:val="single" w:sz="4" w:space="10" w:color="1EA07E" w:themeColor="accent1" w:themeShade="BF"/>
        <w:bottom w:val="single" w:sz="4" w:space="10" w:color="1EA07E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1EA07E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22"/>
    <w:rPr>
      <w:i/>
      <w:iCs/>
      <w:color w:val="1EA07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22"/>
    <w:rPr>
      <w:b/>
      <w:bCs/>
      <w:smallCaps/>
      <w:color w:val="1EA07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92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3922"/>
  </w:style>
  <w:style w:type="paragraph" w:styleId="Footer">
    <w:name w:val="footer"/>
    <w:basedOn w:val="Normal"/>
    <w:link w:val="FooterChar"/>
    <w:uiPriority w:val="99"/>
    <w:unhideWhenUsed/>
    <w:rsid w:val="000E392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3922"/>
  </w:style>
  <w:style w:type="character" w:styleId="Hyperlink">
    <w:name w:val="Hyperlink"/>
    <w:basedOn w:val="DefaultParagraphFont"/>
    <w:uiPriority w:val="99"/>
    <w:unhideWhenUsed/>
    <w:rsid w:val="00AE2AD3"/>
    <w:rPr>
      <w:color w:val="F743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5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reetgames.org/resources/safeguarding-policies-and-procedures/safeguarding-and-protecting-children-policy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treetgames.org/learning-hub/training-academy/doorstep-sport-community-activatio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reetgame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G2025">
  <a:themeElements>
    <a:clrScheme name="Custom 1">
      <a:dk1>
        <a:srgbClr val="323ABF"/>
      </a:dk1>
      <a:lt1>
        <a:srgbClr val="FCFAF7"/>
      </a:lt1>
      <a:dk2>
        <a:srgbClr val="101741"/>
      </a:dk2>
      <a:lt2>
        <a:srgbClr val="D2FF4D"/>
      </a:lt2>
      <a:accent1>
        <a:srgbClr val="28D6A9"/>
      </a:accent1>
      <a:accent2>
        <a:srgbClr val="F7DA18"/>
      </a:accent2>
      <a:accent3>
        <a:srgbClr val="F79200"/>
      </a:accent3>
      <a:accent4>
        <a:srgbClr val="00BBF3"/>
      </a:accent4>
      <a:accent5>
        <a:srgbClr val="087154"/>
      </a:accent5>
      <a:accent6>
        <a:srgbClr val="F743D1"/>
      </a:accent6>
      <a:hlink>
        <a:srgbClr val="F743D1"/>
      </a:hlink>
      <a:folHlink>
        <a:srgbClr val="323AB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</a:spPr>
      <a:bodyPr lIns="216000" tIns="216000" rIns="216000" bIns="216000" rtlCol="0" anchor="ctr">
        <a:normAutofit fontScale="92500" lnSpcReduction="20000"/>
      </a:bodyPr>
      <a:lstStyle>
        <a:defPPr algn="ctr">
          <a:lnSpc>
            <a:spcPct val="130000"/>
          </a:lnSpc>
          <a:defRPr sz="2800" dirty="0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G2025" id="{7C2C7C02-3FE3-478E-9395-CCF3DA75DCC1}" vid="{943958DD-5035-4654-8238-AF46D1DF656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a8cf889-1636-4ad7-84b8-517ce47ff9c5" ContentTypeId="0x010100153AF6314F789F4598E6B06FBC3AA50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G Word document" ma:contentTypeID="0x010100153AF6314F789F4598E6B06FBC3AA5030070C5F5A008943148A2773B149B245F4A" ma:contentTypeVersion="15" ma:contentTypeDescription="" ma:contentTypeScope="" ma:versionID="558fc21f00b51998389ecf626fbd0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2c0338048947f88d26b3f60bc4ed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B4651-E1DE-4798-BCFC-1B59C4656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76DD9-6A2B-4BC4-9766-06B0B044E41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B12E7D9-08E7-4438-B2A1-F7A870F3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BE1C60-702F-4E6E-A795-614462991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801</Words>
  <Characters>4671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StreetGames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 Kempster</cp:lastModifiedBy>
  <cp:revision>5</cp:revision>
  <cp:lastPrinted>2026-04-07T14:23:00Z</cp:lastPrinted>
  <dcterms:created xsi:type="dcterms:W3CDTF">2026-04-13T15:12:00Z</dcterms:created>
  <dcterms:modified xsi:type="dcterms:W3CDTF">2026-04-22T12:51:00Z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0x010100153AF6314F789F4598E6B06FBC3AA5030070C5F5A008943148A2773B149B245F4A</vt:lpwstr>
  </property>
</Properties>
</file>